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81" w:rsidRDefault="00F41061">
      <w:pPr>
        <w:pStyle w:val="A5"/>
        <w:jc w:val="center"/>
        <w:rPr>
          <w:rFonts w:ascii="AngsanaUPC" w:eastAsia="AngsanaUPC" w:hAnsi="AngsanaUPC" w:cs="AngsanaUPC"/>
          <w:b/>
          <w:bCs/>
          <w:sz w:val="32"/>
          <w:szCs w:val="32"/>
        </w:rPr>
      </w:pPr>
      <w:bookmarkStart w:id="0" w:name="_GoBack"/>
      <w:bookmarkEnd w:id="0"/>
      <w:r>
        <w:rPr>
          <w:rFonts w:ascii="AngsanaUPC" w:eastAsia="AngsanaUPC" w:hAnsi="AngsanaUPC" w:cs="AngsanaUPC"/>
          <w:b/>
          <w:bCs/>
          <w:sz w:val="32"/>
          <w:szCs w:val="32"/>
          <w:cs/>
        </w:rPr>
        <w:t xml:space="preserve">สรุปการส่งคู่มือหน่วยงานในฝ่ายวิชาการของโรงเรียนในเครือฯ ตามโครงสร้างปีการศึกษา </w:t>
      </w:r>
      <w:r>
        <w:rPr>
          <w:rFonts w:ascii="AngsanaUPC" w:eastAsia="AngsanaUPC" w:hAnsi="AngsanaUPC" w:cs="AngsanaUPC"/>
          <w:b/>
          <w:bCs/>
          <w:sz w:val="32"/>
          <w:szCs w:val="32"/>
        </w:rPr>
        <w:t>2565</w:t>
      </w:r>
    </w:p>
    <w:tbl>
      <w:tblPr>
        <w:tblStyle w:val="TableNormal"/>
        <w:tblW w:w="14028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610"/>
        <w:gridCol w:w="520"/>
        <w:gridCol w:w="575"/>
        <w:gridCol w:w="527"/>
        <w:gridCol w:w="722"/>
        <w:gridCol w:w="640"/>
        <w:gridCol w:w="590"/>
        <w:gridCol w:w="683"/>
        <w:gridCol w:w="634"/>
        <w:gridCol w:w="746"/>
        <w:gridCol w:w="665"/>
        <w:gridCol w:w="621"/>
        <w:gridCol w:w="649"/>
        <w:gridCol w:w="685"/>
        <w:gridCol w:w="673"/>
      </w:tblGrid>
      <w:tr w:rsidR="007A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tblHeader/>
          <w:jc w:val="right"/>
        </w:trPr>
        <w:tc>
          <w:tcPr>
            <w:tcW w:w="4487" w:type="dxa"/>
            <w:tcBorders>
              <w:top w:val="single" w:sz="2" w:space="0" w:color="ED220B"/>
              <w:left w:val="single" w:sz="2" w:space="0" w:color="ED220B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  <w:jc w:val="center"/>
            </w:pPr>
            <w:r>
              <w:rPr>
                <w:rFonts w:ascii="AngsanaUPC" w:eastAsia="AngsanaUPC" w:hAnsi="AngsanaUPC" w:cs="AngsanaUPC"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610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SLC</w:t>
            </w:r>
          </w:p>
        </w:tc>
        <w:tc>
          <w:tcPr>
            <w:tcW w:w="520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2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SG</w:t>
            </w:r>
          </w:p>
        </w:tc>
        <w:tc>
          <w:tcPr>
            <w:tcW w:w="575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3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MCP</w:t>
            </w:r>
          </w:p>
        </w:tc>
        <w:tc>
          <w:tcPr>
            <w:tcW w:w="527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4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MC</w:t>
            </w:r>
          </w:p>
        </w:tc>
        <w:tc>
          <w:tcPr>
            <w:tcW w:w="722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5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ATSN</w:t>
            </w:r>
          </w:p>
        </w:tc>
        <w:tc>
          <w:tcPr>
            <w:tcW w:w="640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6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ACU</w:t>
            </w:r>
          </w:p>
        </w:tc>
        <w:tc>
          <w:tcPr>
            <w:tcW w:w="590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7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ACT</w:t>
            </w:r>
          </w:p>
        </w:tc>
        <w:tc>
          <w:tcPr>
            <w:tcW w:w="683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8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ACSP</w:t>
            </w:r>
          </w:p>
        </w:tc>
        <w:tc>
          <w:tcPr>
            <w:tcW w:w="634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9ACS</w:t>
            </w:r>
          </w:p>
        </w:tc>
        <w:tc>
          <w:tcPr>
            <w:tcW w:w="746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10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ACR</w:t>
            </w:r>
          </w:p>
        </w:tc>
        <w:tc>
          <w:tcPr>
            <w:tcW w:w="665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11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ACP</w:t>
            </w:r>
          </w:p>
        </w:tc>
        <w:tc>
          <w:tcPr>
            <w:tcW w:w="621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12,ACN</w:t>
            </w:r>
          </w:p>
        </w:tc>
        <w:tc>
          <w:tcPr>
            <w:tcW w:w="649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13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ACL</w:t>
            </w:r>
          </w:p>
        </w:tc>
        <w:tc>
          <w:tcPr>
            <w:tcW w:w="685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14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ACEP</w:t>
            </w:r>
          </w:p>
        </w:tc>
        <w:tc>
          <w:tcPr>
            <w:tcW w:w="673" w:type="dxa"/>
            <w:tcBorders>
              <w:top w:val="single" w:sz="2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</w:rPr>
              <w:t>15</w:t>
            </w:r>
            <w:r>
              <w:rPr>
                <w:rFonts w:ascii="AngsanaUPC" w:eastAsia="AngsanaUPC" w:hAnsi="AngsanaUPC" w:cs="AngsanaUPC"/>
                <w:cs/>
              </w:rPr>
              <w:t>.</w:t>
            </w:r>
            <w:r>
              <w:rPr>
                <w:rFonts w:ascii="AngsanaUPC" w:eastAsia="AngsanaUPC" w:hAnsi="AngsanaUPC" w:cs="AngsanaUPC"/>
              </w:rPr>
              <w:t>AC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.งานบริหารฝ่ายวิชาการ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  <w:jc w:val="center"/>
            </w:pPr>
            <w:r>
              <w:rPr>
                <w:rFonts w:ascii="Arial Unicode MS" w:hAnsi="Arial Unicode MS" w:cs="Angsana New"/>
                <w:b w:val="0"/>
                <w:bCs w:val="0"/>
                <w:sz w:val="24"/>
                <w:szCs w:val="24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.งานกลุ่มสาระการเรียนรู้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  <w:jc w:val="center"/>
            </w:pPr>
            <w:r>
              <w:rPr>
                <w:rFonts w:ascii="Arial Unicode MS" w:hAnsi="Arial Unicode MS" w:cs="Angsana New"/>
                <w:b w:val="0"/>
                <w:bCs w:val="0"/>
                <w:sz w:val="24"/>
                <w:szCs w:val="24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กลุ่มสาระการเรียนรู้คณิตศาสตร์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กลุ่มสาระการเรียนรู้ภาษาไทย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 กลุ่มสาระการเรียนรู้สังคมศึกษาฯ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กลุ่มสาระการเรียนรู้วิทยาศาสตร์ฯ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กลุ่มสาระการเรียนรู้ภาษาต่างประเทศ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กลุ่มสาระการเรียนรู้การงานอาชีพ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กลุ่มสาระการเรียนรู้ศิลปะ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 กลุ่มสาระการเรียนรู้ สุขศึกษา พลศึกษา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.งานการเรียนการสอน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.งานจัดการเรียนรู้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.งานหลักสูตรและการสอน</w:t>
            </w:r>
            <w:r>
              <w:rPr>
                <w:rFonts w:ascii="AngsanaUPC" w:eastAsia="AngsanaUPC" w:hAnsi="AngsanaUPC" w:cs="AngsanaUPC"/>
                <w:cs/>
              </w:rPr>
              <w:t xml:space="preserve">  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u w:color="FF0000"/>
                <w:cs/>
              </w:rPr>
              <w:t xml:space="preserve">(งานพัฒนาหลักสูตร 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u w:color="FF0000"/>
              </w:rPr>
              <w:t>ACEP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u w:color="FF0000"/>
                <w:cs/>
              </w:rPr>
              <w:t>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lastRenderedPageBreak/>
              <w:t>14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.งานหลักสูตร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.งานการเรียนการสอนและนิเทศ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.งานหลักสูตรการเรียนการสอนและนิเทศภายใน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.งานหลักสูตรการเรียนการสอนและนิเทศ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.งานนิเทศและพัฒนาการเรียนการสอน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0070C0"/>
                <w:u w:color="0070C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19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.งานนิเทศการจัดการเรียนรู้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.งานนิเทศการสอน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.งานนิเทศและวิจัยในชั้นเรียน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.งานวิจัยและพัฒนา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.งานวิจัย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.งานวิจัย พัฒนานวัตกรรมและสิ่งประดิษฐ์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.งานวิจัย / สื่อนวัตกรรม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.งานวิจัยในชั้นเรียน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lastRenderedPageBreak/>
              <w:t>27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.งานวัดผลและวิจัย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.งานวัดและประเมินผล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29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.งานทะเบียนและวัดผล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hd w:val="clear" w:color="auto" w:fill="DFF7D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olor w:val="0070C0"/>
                <w:u w:color="0070C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.งานวัดผล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sz w:val="22"/>
                <w:szCs w:val="22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.งานวัดผลและผลิตเอกสาร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.งานบริหารโปรแกรมการเรียนภาษาอังกฤษ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.งานบริหารโปรแกรมนักเรียนจีน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.งานศูนย์ภาษาต่างประเทศ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 xml:space="preserve">IEP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และ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PREP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5G Leaders Commission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English Programme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.งานการเรียนการสอน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IEP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39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Smart Program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 xml:space="preserve">ENS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และ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EML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.งานโครงการพิเศษ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CEP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lastRenderedPageBreak/>
              <w:t>42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.งานโครงการพิเศษ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Smart Tech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.งานโครงการพิเศษ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MTE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 xml:space="preserve">.งานวิเทศสัมพันธ์/โปรแกรม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SEP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.งานการเรียนการสอนภาษาจีน/ภาษาญี่ปุ่น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International Study, Language and Test Center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.งานมาตรฐานสากล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.งานส่งเสริมวิชาการ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0070C0"/>
                <w:u w:color="0070C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49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.งานสอนเสริม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.งานเทคโนโลยีเพื่อการศึกษา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.งานกิจกรรมพัฒนาผู้เรียน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.งานกิจกรรมพัฒนาผู้เรียน (แนะแนว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ชมรม)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.งานแนะแนว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sz w:val="22"/>
                <w:szCs w:val="22"/>
                <w:u w:color="FF0000"/>
                <w:cs/>
              </w:rPr>
              <w:t>/งานแนะแนวและทุนการศึกษา (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sz w:val="22"/>
                <w:szCs w:val="22"/>
                <w:u w:color="FF0000"/>
              </w:rPr>
              <w:t>ACN</w:t>
            </w:r>
            <w:r>
              <w:rPr>
                <w:rFonts w:ascii="AngsanaUPC" w:eastAsia="AngsanaUPC" w:hAnsi="AngsanaUPC" w:cs="AngsanaUPC"/>
                <w:b w:val="0"/>
                <w:bCs w:val="0"/>
                <w:color w:val="FF0000"/>
                <w:sz w:val="22"/>
                <w:szCs w:val="22"/>
                <w:u w:color="FF0000"/>
                <w:cs/>
              </w:rPr>
              <w:t>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..งานกิจกรรมพัฒนาผู้เรียน/ชมรม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lastRenderedPageBreak/>
              <w:t>55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.งานพัฒนาผู้เรียนเพื่อการศึกษาต่อและอาชีพ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.งานวิทยบริการ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.งานวิทยบริการและเทคโนโลยีเพื่อการศึกษา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.แผนกวิชาสามัญ-สัมพันธ์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59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.งานศูนย์ดนตรี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60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.งานศูนย์เทคโนโลยี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61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.งานห้องสมุด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0070C0"/>
                <w:u w:color="0070C0"/>
                <w:cs/>
              </w:rPr>
              <w:t>✓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62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.งานธุรการและสารสนเทศฝ่าย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63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.งานดนตรีและการแสดง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64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.แผนกวิชาช่างอุตสาหกรรม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65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.งานระบบทวิภาคี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66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.ระดับปฐมวัย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67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>
              <w:rPr>
                <w:rFonts w:ascii="AngsanaUPC" w:eastAsia="AngsanaUPC" w:hAnsi="AngsanaUPC" w:cs="AngsanaUPC"/>
                <w:sz w:val="28"/>
                <w:szCs w:val="28"/>
              </w:rPr>
              <w:t>Digital Science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68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.งานพัฒนาภาษาต่างประเทศ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olor w:val="E22400"/>
                <w:cs/>
              </w:rPr>
              <w:t>✓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</w:rPr>
              <w:t>69</w:t>
            </w: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t>.ศูนย์ผลิตเอกสาร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  <w:jc w:val="center"/>
            </w:pPr>
            <w:r>
              <w:rPr>
                <w:rFonts w:ascii="Arial Unicode MS" w:hAnsi="Arial Unicode MS" w:cs="Angsana New"/>
                <w:b w:val="0"/>
                <w:bCs w:val="0"/>
                <w:sz w:val="22"/>
                <w:szCs w:val="22"/>
                <w:cs/>
              </w:rPr>
              <w:t>✓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  <w:jc w:val="right"/>
        </w:trPr>
        <w:tc>
          <w:tcPr>
            <w:tcW w:w="4487" w:type="dxa"/>
            <w:tcBorders>
              <w:top w:val="single" w:sz="2" w:space="0" w:color="000000"/>
              <w:left w:val="single" w:sz="2" w:space="0" w:color="ED220B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1A"/>
            </w:pPr>
            <w:r>
              <w:rPr>
                <w:rFonts w:ascii="AngsanaUPC" w:eastAsia="AngsanaUPC" w:hAnsi="AngsanaUPC" w:cs="AngsanaUPC"/>
                <w:b w:val="0"/>
                <w:bCs w:val="0"/>
                <w:sz w:val="28"/>
                <w:szCs w:val="28"/>
                <w:cs/>
              </w:rPr>
              <w:lastRenderedPageBreak/>
              <w:t>รวมหน่วยงานแต่ละโรงเรียน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7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pStyle w:val="A6"/>
              <w:spacing w:before="0" w:line="240" w:lineRule="auto"/>
              <w:jc w:val="center"/>
            </w:pPr>
            <w:r>
              <w:rPr>
                <w:rFonts w:ascii="AngsanaUPC" w:eastAsia="AngsanaUPC" w:hAnsi="AngsanaUPC" w:cs="AngsanaUPC"/>
              </w:rPr>
              <w:t>7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19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18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UPC" w:eastAsia="AngsanaUPC" w:hAnsi="AngsanaUPC" w:cs="AngsanaUPC"/>
              </w:rPr>
            </w:pPr>
            <w:r>
              <w:rPr>
                <w:rFonts w:ascii="AngsanaUPC" w:eastAsia="AngsanaUPC" w:hAnsi="AngsanaUPC" w:cs="AngsanaUPC"/>
              </w:rPr>
              <w:t>19</w:t>
            </w:r>
          </w:p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  <w:sz w:val="16"/>
                <w:szCs w:val="16"/>
                <w:cs/>
              </w:rPr>
              <w:t>(เฉพาะขั้นพื้นฐาน)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17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16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9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18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19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UPC" w:eastAsia="AngsanaUPC" w:hAnsi="AngsanaUPC" w:cs="AngsanaUPC"/>
              </w:rPr>
              <w:t>8</w:t>
            </w:r>
          </w:p>
        </w:tc>
      </w:tr>
    </w:tbl>
    <w:p w:rsidR="007A6881" w:rsidRDefault="00F41061">
      <w:pPr>
        <w:pStyle w:val="A5"/>
        <w:widowControl w:val="0"/>
        <w:ind w:left="5" w:hanging="5"/>
        <w:jc w:val="right"/>
        <w:rPr>
          <w:rFonts w:ascii="AngsanaUPC" w:eastAsia="AngsanaUPC" w:hAnsi="AngsanaUPC" w:cs="AngsanaUPC"/>
          <w:b/>
          <w:bCs/>
          <w:color w:val="0070C0"/>
          <w:sz w:val="28"/>
          <w:szCs w:val="28"/>
        </w:rPr>
      </w:pPr>
      <w:r>
        <w:rPr>
          <w:rFonts w:ascii="Arial Unicode MS" w:hAnsi="Arial Unicode MS" w:cs="Angsana New"/>
          <w:sz w:val="28"/>
          <w:szCs w:val="28"/>
          <w:cs/>
        </w:rPr>
        <w:t>✓</w:t>
      </w:r>
      <w:r>
        <w:rPr>
          <w:rFonts w:ascii="Arial Unicode MS" w:hAnsi="Arial Unicode MS" w:cs="Angsana New"/>
          <w:sz w:val="28"/>
          <w:szCs w:val="28"/>
          <w:cs/>
        </w:rPr>
        <w:t>มีคู่มือคุณภาพฯตามโครงสร้าง</w:t>
      </w:r>
      <w:r>
        <w:rPr>
          <w:rFonts w:ascii="AngsanaUPC" w:eastAsia="AngsanaUPC" w:hAnsi="AngsanaUPC" w:cs="AngsanaUPC"/>
          <w:b/>
          <w:bCs/>
          <w:sz w:val="28"/>
          <w:szCs w:val="28"/>
          <w:cs/>
        </w:rPr>
        <w:t xml:space="preserve">      </w:t>
      </w:r>
      <w:r>
        <w:rPr>
          <w:rFonts w:ascii="Arial Unicode MS" w:hAnsi="Arial Unicode MS" w:cs="Angsana New"/>
          <w:color w:val="E22400"/>
          <w:cs/>
        </w:rPr>
        <w:t>✓</w:t>
      </w:r>
      <w:r>
        <w:rPr>
          <w:rFonts w:ascii="AngsanaUPC" w:eastAsia="AngsanaUPC" w:hAnsi="AngsanaUPC" w:cs="AngsanaUPC"/>
          <w:b/>
          <w:bCs/>
          <w:color w:val="E22400"/>
          <w:sz w:val="28"/>
          <w:szCs w:val="28"/>
          <w:cs/>
        </w:rPr>
        <w:t xml:space="preserve"> </w:t>
      </w:r>
      <w:r>
        <w:rPr>
          <w:rFonts w:ascii="AngsanaUPC" w:eastAsia="AngsanaUPC" w:hAnsi="AngsanaUPC" w:cs="AngsanaUPC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="AngsanaUPC" w:eastAsia="AngsanaUPC" w:hAnsi="AngsanaUPC" w:cs="AngsanaUPC"/>
          <w:b/>
          <w:bCs/>
          <w:color w:val="FF0000"/>
          <w:sz w:val="28"/>
          <w:szCs w:val="28"/>
          <w:cs/>
        </w:rPr>
        <w:t>มีโครงสร้างแต่ไม่พบไฟล์คู่มือ</w:t>
      </w:r>
      <w:r>
        <w:rPr>
          <w:rFonts w:ascii="AngsanaUPC" w:eastAsia="AngsanaUPC" w:hAnsi="AngsanaUPC" w:cs="AngsanaUPC"/>
          <w:b/>
          <w:bCs/>
          <w:sz w:val="28"/>
          <w:szCs w:val="28"/>
          <w:cs/>
        </w:rPr>
        <w:t xml:space="preserve">    </w:t>
      </w:r>
      <w:r>
        <w:rPr>
          <w:rFonts w:ascii="Arial Unicode MS" w:hAnsi="Arial Unicode MS" w:cs="Angsana New"/>
          <w:color w:val="0070C0"/>
          <w:sz w:val="28"/>
          <w:szCs w:val="28"/>
          <w:cs/>
        </w:rPr>
        <w:t>✓</w:t>
      </w:r>
      <w:r>
        <w:rPr>
          <w:rFonts w:ascii="Arial Unicode MS" w:hAnsi="Arial Unicode MS" w:cs="Angsana New"/>
          <w:color w:val="0070C0"/>
          <w:sz w:val="28"/>
          <w:szCs w:val="28"/>
          <w:cs/>
        </w:rPr>
        <w:t>มีคู่มือคุณภาพฯแต่โครงสร้างแตกต่าง</w:t>
      </w:r>
    </w:p>
    <w:p w:rsidR="007A6881" w:rsidRDefault="007A6881">
      <w:pPr>
        <w:pStyle w:val="A6"/>
        <w:spacing w:before="0" w:line="240" w:lineRule="auto"/>
        <w:jc w:val="center"/>
        <w:rPr>
          <w:rFonts w:ascii="AngsanaUPC" w:eastAsia="AngsanaUPC" w:hAnsi="AngsanaUPC" w:cs="AngsanaUPC"/>
          <w:b/>
          <w:bCs/>
          <w:color w:val="0070C0"/>
          <w:sz w:val="28"/>
          <w:szCs w:val="28"/>
        </w:rPr>
      </w:pPr>
    </w:p>
    <w:p w:rsidR="007A6881" w:rsidRDefault="00F41061">
      <w:pPr>
        <w:pStyle w:val="A6"/>
        <w:spacing w:before="0" w:line="240" w:lineRule="auto"/>
        <w:jc w:val="center"/>
        <w:rPr>
          <w:rFonts w:ascii="AngsanaUPC" w:eastAsia="AngsanaUPC" w:hAnsi="AngsanaUPC" w:cs="AngsanaUPC"/>
          <w:b/>
          <w:bCs/>
        </w:rPr>
      </w:pPr>
      <w:r>
        <w:rPr>
          <w:rFonts w:ascii="AngsanaUPC" w:eastAsia="AngsanaUPC" w:hAnsi="AngsanaUPC" w:cs="AngsanaUPC"/>
          <w:b/>
          <w:bCs/>
          <w:sz w:val="28"/>
          <w:szCs w:val="28"/>
          <w:cs/>
        </w:rPr>
        <w:t>สรุป</w:t>
      </w:r>
      <w:r>
        <w:rPr>
          <w:rFonts w:ascii="AngsanaUPC" w:eastAsia="AngsanaUPC" w:hAnsi="AngsanaUPC" w:cs="AngsanaUPC"/>
          <w:b/>
          <w:bCs/>
          <w:cs/>
        </w:rPr>
        <w:t xml:space="preserve">ภาพรวมที่เช็คข้อมูลคู่มือคุณภาพหน่วยงานในฝ่ายวิชาการ พบว่า </w:t>
      </w: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sz w:val="28"/>
          <w:szCs w:val="28"/>
          <w:cs/>
        </w:rPr>
        <w:t xml:space="preserve">โรงเรียนในเครือฯ ทั้งหมด </w:t>
      </w:r>
      <w:r>
        <w:rPr>
          <w:rFonts w:ascii="AngsanaUPC" w:eastAsia="AngsanaUPC" w:hAnsi="AngsanaUPC" w:cs="AngsanaUPC"/>
          <w:sz w:val="28"/>
          <w:szCs w:val="28"/>
        </w:rPr>
        <w:t xml:space="preserve">15 </w:t>
      </w:r>
      <w:r>
        <w:rPr>
          <w:rFonts w:ascii="AngsanaUPC" w:eastAsia="AngsanaUPC" w:hAnsi="AngsanaUPC" w:cs="AngsanaUPC"/>
          <w:sz w:val="28"/>
          <w:szCs w:val="28"/>
          <w:cs/>
        </w:rPr>
        <w:t xml:space="preserve">โรงเรียน มีจำนวนหน่วยงานของฝ่ายวิชาการทั้งหมด  </w:t>
      </w:r>
      <w:r>
        <w:rPr>
          <w:rFonts w:ascii="AngsanaUPC" w:eastAsia="AngsanaUPC" w:hAnsi="AngsanaUPC" w:cs="AngsanaUPC"/>
          <w:sz w:val="28"/>
          <w:szCs w:val="28"/>
        </w:rPr>
        <w:t xml:space="preserve">69 </w:t>
      </w:r>
      <w:r>
        <w:rPr>
          <w:rFonts w:ascii="AngsanaUPC" w:eastAsia="AngsanaUPC" w:hAnsi="AngsanaUPC" w:cs="AngsanaUPC"/>
          <w:sz w:val="28"/>
          <w:szCs w:val="28"/>
          <w:cs/>
        </w:rPr>
        <w:t xml:space="preserve">หน่วยงาน     มีชื่อหน่วยงานที่ใช้ชื่อเหมือนกัน </w:t>
      </w:r>
      <w:r>
        <w:rPr>
          <w:rFonts w:ascii="AngsanaUPC" w:eastAsia="AngsanaUPC" w:hAnsi="AngsanaUPC" w:cs="AngsanaUPC"/>
          <w:sz w:val="28"/>
          <w:szCs w:val="28"/>
        </w:rPr>
        <w:t xml:space="preserve">29 </w:t>
      </w:r>
      <w:r>
        <w:rPr>
          <w:rFonts w:ascii="AngsanaUPC" w:eastAsia="AngsanaUPC" w:hAnsi="AngsanaUPC" w:cs="AngsanaUPC"/>
          <w:sz w:val="28"/>
          <w:szCs w:val="28"/>
          <w:cs/>
        </w:rPr>
        <w:t xml:space="preserve">หน่วยงาน  และชื่อต่างกันรวม </w:t>
      </w:r>
      <w:r>
        <w:rPr>
          <w:rFonts w:ascii="AngsanaUPC" w:eastAsia="AngsanaUPC" w:hAnsi="AngsanaUPC" w:cs="AngsanaUPC"/>
          <w:sz w:val="28"/>
          <w:szCs w:val="28"/>
        </w:rPr>
        <w:t xml:space="preserve">40 </w:t>
      </w:r>
      <w:r>
        <w:rPr>
          <w:rFonts w:ascii="AngsanaUPC" w:eastAsia="AngsanaUPC" w:hAnsi="AngsanaUPC" w:cs="AngsanaUPC"/>
          <w:sz w:val="28"/>
          <w:szCs w:val="28"/>
          <w:cs/>
        </w:rPr>
        <w:t>หน่วยงาน   จากตารางพบว่า  ทุกหน่วยงานที่ส่งคู่มือมีองค์ประกอบในเล่มเหมือนกัน ซึ่งจะประกอบด้วย</w:t>
      </w: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sz w:val="28"/>
          <w:szCs w:val="28"/>
          <w:cs/>
        </w:rPr>
        <w:t xml:space="preserve">ส่วนที่ </w:t>
      </w:r>
      <w:r>
        <w:rPr>
          <w:rFonts w:ascii="AngsanaUPC" w:eastAsia="AngsanaUPC" w:hAnsi="AngsanaUPC" w:cs="AngsanaUPC"/>
          <w:sz w:val="28"/>
          <w:szCs w:val="28"/>
        </w:rPr>
        <w:t xml:space="preserve">1 </w:t>
      </w:r>
      <w:r>
        <w:rPr>
          <w:rFonts w:ascii="AngsanaUPC" w:eastAsia="AngsanaUPC" w:hAnsi="AngsanaUPC" w:cs="AngsanaUPC"/>
          <w:sz w:val="28"/>
          <w:szCs w:val="28"/>
          <w:cs/>
        </w:rPr>
        <w:t>การเชื่อมโยงแผนยุทธศาสตร์มูลนิธิฯ สู่แผนพัฒนาโรงเรียนฯ</w:t>
      </w: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sz w:val="28"/>
          <w:szCs w:val="28"/>
          <w:cs/>
        </w:rPr>
        <w:t xml:space="preserve">ส่วนที่ </w:t>
      </w:r>
      <w:r>
        <w:rPr>
          <w:rFonts w:ascii="AngsanaUPC" w:eastAsia="AngsanaUPC" w:hAnsi="AngsanaUPC" w:cs="AngsanaUPC"/>
          <w:sz w:val="28"/>
          <w:szCs w:val="28"/>
        </w:rPr>
        <w:t xml:space="preserve">2 </w:t>
      </w:r>
      <w:r>
        <w:rPr>
          <w:rFonts w:ascii="AngsanaUPC" w:eastAsia="AngsanaUPC" w:hAnsi="AngsanaUPC" w:cs="AngsanaUPC"/>
          <w:sz w:val="28"/>
          <w:szCs w:val="28"/>
          <w:cs/>
        </w:rPr>
        <w:t>ขอบข่ายงานตามโครงสร้าง</w:t>
      </w: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sz w:val="28"/>
          <w:szCs w:val="28"/>
          <w:cs/>
        </w:rPr>
        <w:t xml:space="preserve">ส่วนที่ </w:t>
      </w:r>
      <w:r>
        <w:rPr>
          <w:rFonts w:ascii="AngsanaUPC" w:eastAsia="AngsanaUPC" w:hAnsi="AngsanaUPC" w:cs="AngsanaUPC"/>
          <w:sz w:val="28"/>
          <w:szCs w:val="28"/>
        </w:rPr>
        <w:t xml:space="preserve">3 </w:t>
      </w:r>
      <w:r>
        <w:rPr>
          <w:rFonts w:ascii="AngsanaUPC" w:eastAsia="AngsanaUPC" w:hAnsi="AngsanaUPC" w:cs="AngsanaUPC"/>
          <w:sz w:val="28"/>
          <w:szCs w:val="28"/>
          <w:cs/>
        </w:rPr>
        <w:t xml:space="preserve">ตัวชี้วัดความสำเร็จ  </w:t>
      </w: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242549</wp:posOffset>
                </wp:positionV>
                <wp:extent cx="2428875" cy="821403"/>
                <wp:effectExtent l="0" t="0" r="0" b="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214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A6881" w:rsidRDefault="00F41061">
                            <w:pPr>
                              <w:pStyle w:val="A6"/>
                              <w:spacing w:before="0" w:line="240" w:lineRule="auto"/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>อัตรากำลัง</w:t>
                            </w:r>
                          </w:p>
                          <w:p w:rsidR="007A6881" w:rsidRDefault="00F41061">
                            <w:pPr>
                              <w:pStyle w:val="A6"/>
                              <w:spacing w:before="0" w:line="240" w:lineRule="auto"/>
                            </w:pP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 xml:space="preserve">ภาคผนวก ( ภาคผนวก ก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 xml:space="preserve">ข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 xml:space="preserve">ค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 xml:space="preserve">ง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28"/>
                                <w:szCs w:val="28"/>
                                <w:cs/>
                              </w:rPr>
                              <w:t>จ 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19.1pt;width:191.2pt;height:64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ค่าเริ่มต้น A"/>
                        <w:spacing w:before="0" w:line="240" w:lineRule="auto"/>
                        <w:rPr>
                          <w:rFonts w:ascii="AngsanaUPC" w:cs="AngsanaUPC" w:hAnsi="AngsanaUPC" w:eastAsia="AngsanaUPC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AngsanaUPC" w:cs="AngsanaUPC" w:hAnsi="AngsanaUPC" w:eastAsia="AngsanaUPC"/>
                          <w:sz w:val="28"/>
                          <w:szCs w:val="28"/>
                          <w:u w:color="000000"/>
                          <w:rtl w:val="0"/>
                          <w:lang w:val="en-US"/>
                        </w:rPr>
                        <w:t>อัตรากำลัง</w:t>
                      </w:r>
                    </w:p>
                    <w:p>
                      <w:pPr>
                        <w:pStyle w:val="ค่าเริ่มต้น A"/>
                        <w:spacing w:before="0" w:line="240" w:lineRule="auto"/>
                      </w:pPr>
                      <w:r>
                        <w:rPr>
                          <w:rFonts w:ascii="AngsanaUPC" w:cs="AngsanaUPC" w:hAnsi="AngsanaUPC" w:eastAsia="AngsanaUPC"/>
                          <w:sz w:val="28"/>
                          <w:szCs w:val="28"/>
                          <w:u w:color="000000"/>
                          <w:rtl w:val="0"/>
                          <w:lang w:val="en-US"/>
                        </w:rPr>
                        <w:t>ภาคผนวก ( ภาคผนวก ก , ข , ค , ง , จ )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AngsanaUPC" w:eastAsia="AngsanaUPC" w:hAnsi="AngsanaUPC" w:cs="AngsanaUPC"/>
          <w:sz w:val="28"/>
          <w:szCs w:val="28"/>
          <w:cs/>
        </w:rPr>
        <w:t xml:space="preserve">ส่วนที่ </w:t>
      </w:r>
      <w:r>
        <w:rPr>
          <w:rFonts w:ascii="AngsanaUPC" w:eastAsia="AngsanaUPC" w:hAnsi="AngsanaUPC" w:cs="AngsanaUPC"/>
          <w:sz w:val="28"/>
          <w:szCs w:val="28"/>
        </w:rPr>
        <w:t xml:space="preserve">4 </w:t>
      </w:r>
      <w:r>
        <w:rPr>
          <w:rFonts w:ascii="AngsanaUPC" w:eastAsia="AngsanaUPC" w:hAnsi="AngsanaUPC" w:cs="AngsanaUPC"/>
          <w:sz w:val="28"/>
          <w:szCs w:val="28"/>
          <w:cs/>
        </w:rPr>
        <w:t>คุณสมบัติผู้ปฏิบัติหน้าที่ในหน่วยงานฯ</w:t>
      </w:r>
    </w:p>
    <w:p w:rsidR="007A6881" w:rsidRDefault="007A688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</w:p>
    <w:p w:rsidR="007A6881" w:rsidRDefault="007A688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</w:p>
    <w:p w:rsidR="007A6881" w:rsidRDefault="00F4106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  <w:r>
        <w:rPr>
          <w:rFonts w:ascii="AngsanaUPC" w:eastAsia="AngsanaUPC" w:hAnsi="AngsanaUPC" w:cs="AngsanaUPC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6786264</wp:posOffset>
                </wp:positionH>
                <wp:positionV relativeFrom="line">
                  <wp:posOffset>79625</wp:posOffset>
                </wp:positionV>
                <wp:extent cx="3505200" cy="609600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09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A6881" w:rsidRDefault="00F41061">
                            <w:pPr>
                              <w:pStyle w:val="A6"/>
                              <w:spacing w:before="0" w:line="240" w:lineRule="auto"/>
                              <w:jc w:val="center"/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  <w:cs/>
                              </w:rPr>
                              <w:t>ลงชื่อ มิสกัลยาลักษณ์  สุผาครอง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  <w:cs/>
                              </w:rPr>
                              <w:t xml:space="preserve"> ผู้ตรวจเช็คข้อมูล</w:t>
                            </w:r>
                          </w:p>
                          <w:p w:rsidR="007A6881" w:rsidRDefault="00F41061">
                            <w:pPr>
                              <w:pStyle w:val="A6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</w:rPr>
                              <w:t xml:space="preserve">29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  <w:cs/>
                              </w:rPr>
                              <w:t xml:space="preserve">/พ.ย / </w:t>
                            </w:r>
                            <w:r>
                              <w:rPr>
                                <w:rFonts w:ascii="AngsanaUPC" w:eastAsia="AngsanaUPC" w:hAnsi="AngsanaUPC" w:cs="AngsanaUPC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34.4pt;margin-top:6.3pt;width:276.0pt;height:48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ค่าเริ่มต้น A"/>
                        <w:spacing w:before="0" w:line="240" w:lineRule="auto"/>
                        <w:jc w:val="center"/>
                        <w:rPr>
                          <w:rFonts w:ascii="AngsanaUPC" w:cs="AngsanaUPC" w:hAnsi="AngsanaUPC" w:eastAsia="AngsanaUPC"/>
                          <w:sz w:val="32"/>
                          <w:szCs w:val="32"/>
                          <w:u w:color="000000"/>
                        </w:rPr>
                      </w:pPr>
                      <w:r>
                        <w:rPr>
                          <w:rFonts w:ascii="AngsanaUPC" w:cs="AngsanaUPC" w:hAnsi="AngsanaUPC" w:eastAsia="AngsanaUPC"/>
                          <w:sz w:val="32"/>
                          <w:szCs w:val="32"/>
                          <w:u w:color="000000"/>
                          <w:rtl w:val="0"/>
                          <w:lang w:val="en-US"/>
                        </w:rPr>
                        <w:t>ลงชื่อ มิสกัลยาลักษณ์  สุผาครอง ผู้ตรวจเช็คข้อมูล</w:t>
                      </w:r>
                    </w:p>
                    <w:p>
                      <w:pPr>
                        <w:pStyle w:val="ค่าเริ่มต้น A"/>
                        <w:spacing w:before="0" w:line="240" w:lineRule="auto"/>
                        <w:jc w:val="center"/>
                      </w:pPr>
                      <w:r>
                        <w:rPr>
                          <w:rFonts w:ascii="AngsanaUPC" w:cs="AngsanaUPC" w:hAnsi="AngsanaUPC" w:eastAsia="AngsanaUPC"/>
                          <w:sz w:val="32"/>
                          <w:szCs w:val="32"/>
                          <w:u w:color="000000"/>
                          <w:rtl w:val="0"/>
                          <w:lang w:val="en-US"/>
                        </w:rPr>
                        <w:t>29 /พ.ย / 2565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:rsidR="007A6881" w:rsidRDefault="007A6881">
      <w:pPr>
        <w:pStyle w:val="A6"/>
        <w:spacing w:before="0" w:line="240" w:lineRule="auto"/>
        <w:rPr>
          <w:rFonts w:ascii="AngsanaUPC" w:eastAsia="AngsanaUPC" w:hAnsi="AngsanaUPC" w:cs="AngsanaUPC"/>
          <w:sz w:val="28"/>
          <w:szCs w:val="28"/>
        </w:rPr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7A6881">
      <w:pPr>
        <w:jc w:val="center"/>
      </w:pPr>
    </w:p>
    <w:p w:rsidR="007A6881" w:rsidRDefault="00F4106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สรุปการเช็คข้อมูลคู่มือคุณภาพหน่วยงานโรงเรียนในเครือมูลนิธิคณะเซนต์คาเบรียลแห่งประเทศไทย ปีการศึกษา </w:t>
      </w:r>
      <w:r>
        <w:rPr>
          <w:rFonts w:ascii="Angsana New" w:eastAsia="Angsana New" w:hAnsi="Angsana New" w:cs="Angsana New"/>
          <w:b/>
          <w:bCs/>
          <w:sz w:val="28"/>
          <w:szCs w:val="28"/>
        </w:rPr>
        <w:t xml:space="preserve">2565 </w:t>
      </w:r>
    </w:p>
    <w:p w:rsidR="007A6881" w:rsidRDefault="00F4106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lastRenderedPageBreak/>
        <w:t xml:space="preserve">คู่มือคุณภาพฝ่าย วิชาการ </w:t>
      </w:r>
    </w:p>
    <w:p w:rsidR="007A6881" w:rsidRDefault="00F4106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งานบริหารฝ่ายวิชาการ</w:t>
      </w:r>
    </w:p>
    <w:p w:rsidR="007A6881" w:rsidRDefault="00F4106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**************************************************************************************</w:t>
      </w:r>
    </w:p>
    <w:tbl>
      <w:tblPr>
        <w:tblStyle w:val="TableNormal"/>
        <w:tblW w:w="142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079"/>
        <w:gridCol w:w="1713"/>
        <w:gridCol w:w="1169"/>
        <w:gridCol w:w="1259"/>
        <w:gridCol w:w="1439"/>
        <w:gridCol w:w="1004"/>
        <w:gridCol w:w="1161"/>
        <w:gridCol w:w="1260"/>
        <w:gridCol w:w="3330"/>
      </w:tblGrid>
      <w:tr w:rsidR="007A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  <w:tblHeader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องค์ประกอบในเล่ม ( ให้ทำเครื่องหมาย  </w:t>
            </w:r>
            <w:r>
              <w:rPr>
                <w:rFonts w:ascii="Arial Unicode MS" w:hAnsi="Arial Unicode MS" w:cs="Angsana New"/>
                <w:sz w:val="28"/>
                <w:szCs w:val="28"/>
                <w:cs/>
              </w:rPr>
              <w:t>✓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 ในช่องที่มีข้อมูลในแต่ละส่วนที่ปรากฏในเล่มคู่มือฯ  )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ข้อค้นพบ (ให้เช็ค </w:t>
            </w:r>
            <w:r>
              <w:rPr>
                <w:rFonts w:ascii="Arial Unicode MS" w:hAnsi="Arial Unicode MS" w:cs="Angsana New"/>
                <w:sz w:val="28"/>
                <w:szCs w:val="28"/>
                <w:cs/>
              </w:rPr>
              <w:t>✓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 ในช่องกรณีต่างกับ ร.ร.อื่นให้ระบุสิ่งที่ต่างกันลงไปให้ทราบโดยสังเขปและระบุหน้าในคู่มือฯ </w:t>
            </w:r>
          </w:p>
        </w:tc>
      </w:tr>
      <w:tr w:rsidR="007A6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/>
          <w:tblHeader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ส่วนที่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การเชื่อมโยงแผนยุทธศาสตร์มูลนิธิฯ สู่แผนพัฒนาโรงเรียนฯ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ส่วนที่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ขอบข่ายงานตามโครงสร้าง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ส่วนที่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ส่วนที่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คุณสมบัติผู้ปฎิบัติหน้าที่ในหน่วยงานฯ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อัตรากำลัง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ภาคผนวก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( ภาคผนวก ก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ข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ค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 xml:space="preserve">ง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จ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ระบุส่วนของที่ข้อมูลเหมือนกันในแต่ละโรงเรียน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ระบุส่วนของข้อมูลที่ต่างกับโรงเรียนอื่น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  <w:cs/>
              </w:rPr>
              <w:t>(เขียนระบุโดยสังเขปที่ต่างกับโรงเรียนอื่นในเครือมูลนิธิฯ )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ACP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งานบริหารฝ่าย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งานหลักสูตร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lastRenderedPageBreak/>
              <w:t xml:space="preserve">งานกลุ่มสาระฯ 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งานนิเทศ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งานวัดผล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งานวิจัย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lastRenderedPageBreak/>
              <w:t xml:space="preserve">งาน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ENS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และ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>EML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</w:t>
            </w: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แยกโครงสร้างบริหารฝ่ายวิชาการ เป็นหลักสูตรภาคภาษาไทยและ ฝ่ายโปรแกรมภาษาอังกฤษ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9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ระบุหน่วยงานให้ชัดเจนใน</w:t>
            </w:r>
            <w:hyperlink r:id="rId7" w:history="1">
              <w:r>
                <w:rPr>
                  <w:rStyle w:val="Hyperlink0"/>
                  <w:rFonts w:ascii="Angsana New" w:eastAsia="Angsana New" w:hAnsi="Angsana New" w:cs="Angsana New"/>
                  <w:sz w:val="28"/>
                  <w:szCs w:val="28"/>
                  <w:cs/>
                </w:rPr>
                <w:t>คู่มือ</w:t>
              </w:r>
            </w:hyperlink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SG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ยังไม่ได้ระบุร้อยละตัวชี้วัดความสำเร็จ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IEP and PREP 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SG Leader Commission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ACT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งานห้องสมุดขาด ส่วนที่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ACSP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นำเกณฑ์มาตรฐานที่อ้างถึงมาจัดทำเป็นเป้าหมาย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-แยกโครงสร้างบริหารฝ่ายวิชาการ เป็นหลักสูตรภาคภาษาไทยและ หลักสูตร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EP 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โดยมีรูปแบบโครงสร้างการบริหารโดยแบ่งออกเป็นกลุ่ม</w:t>
            </w:r>
          </w:p>
          <w:p w:rsidR="007A6881" w:rsidRDefault="00F41061">
            <w:pPr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สาระฯ การเรียนรู้เช่นเดียวกัน</w:t>
            </w:r>
          </w:p>
          <w:p w:rsidR="007A6881" w:rsidRDefault="00F41061">
            <w:pPr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- งานมาตรฐานสากล</w:t>
            </w:r>
          </w:p>
          <w:p w:rsidR="007A6881" w:rsidRDefault="00F41061"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- งานส่งเสริมวิชาการ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ACEP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cs/>
              </w:rPr>
              <w:t>ยังไม่ได้ระบุร้อยละตัวชี้วัดความสำเร็จ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cs/>
              </w:rPr>
              <w:t>(เฉพาะบางหน่วยงาน)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>International Study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cs/>
              </w:rPr>
              <w:t>** ชื่องานบางงานในโครงสร้างไม่ตรงกับคู่มือ**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ACC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ACS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รวมระดับปฐมวัยในโครงสร้างการบริหารฝ่าย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ACR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นำเกณฑ์มาตรฐานที่อ้างถึงมาจัดทำเป็นเป้าหมาย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Digital Science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(งาน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STEM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/หุ่นยนต์)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งานเทคโนโลยี 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SLC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9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</w:t>
            </w:r>
            <w:hyperlink r:id="rId8" w:history="1">
              <w:r>
                <w:rPr>
                  <w:rStyle w:val="Hyperlink0"/>
                  <w:rFonts w:ascii="Angsana New" w:eastAsia="Angsana New" w:hAnsi="Angsana New" w:cs="Angsana New"/>
                  <w:sz w:val="28"/>
                  <w:szCs w:val="28"/>
                  <w:cs/>
                </w:rPr>
                <w:t>นิเทศการสอน</w:t>
              </w:r>
            </w:hyperlink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ไม่เป็นไปตามรูปแบบที่กำหนด งาน</w:t>
            </w:r>
            <w:hyperlink r:id="rId9" w:history="1">
              <w:r>
                <w:rPr>
                  <w:rStyle w:val="Hyperlink0"/>
                  <w:rFonts w:ascii="Angsana New" w:eastAsia="Angsana New" w:hAnsi="Angsana New" w:cs="Angsana New"/>
                  <w:sz w:val="28"/>
                  <w:szCs w:val="28"/>
                  <w:cs/>
                </w:rPr>
                <w:t>กิจกรรมพัฒนาผู้เรียน</w:t>
              </w:r>
            </w:hyperlink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 ขั้นตอน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PDCA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ไม่ครบ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9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ACU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cs/>
              </w:rPr>
              <w:t>พิจารณาตัวชี้วัดที่เป็นเป้าหมายตามหลักสูต</w:t>
            </w:r>
            <w:r>
              <w:rPr>
                <w:rFonts w:ascii="Angsana New" w:eastAsia="Angsana New" w:hAnsi="Angsana New" w:cs="Angsana New"/>
                <w:cs/>
              </w:rPr>
              <w:t xml:space="preserve">ร เช่น ผู้เรียนร้อยละ </w:t>
            </w:r>
            <w:r>
              <w:rPr>
                <w:rFonts w:ascii="Angsana New" w:eastAsia="Angsana New" w:hAnsi="Angsana New" w:cs="Angsana New"/>
              </w:rPr>
              <w:t xml:space="preserve">90 </w:t>
            </w:r>
            <w:r>
              <w:rPr>
                <w:rFonts w:ascii="Angsana New" w:eastAsia="Angsana New" w:hAnsi="Angsana New" w:cs="Angsana New"/>
                <w:cs/>
              </w:rPr>
              <w:t xml:space="preserve">ผ่านกิจกรรมพัฒนาผู้เรียน (ต้องผ่านร้อยละ </w:t>
            </w:r>
            <w:r>
              <w:rPr>
                <w:rFonts w:ascii="Angsana New" w:eastAsia="Angsana New" w:hAnsi="Angsana New" w:cs="Angsana New"/>
              </w:rPr>
              <w:t>100</w:t>
            </w:r>
            <w:r>
              <w:rPr>
                <w:rFonts w:ascii="Angsana New" w:eastAsia="Angsana New" w:hAnsi="Angsana New" w:cs="Angsana New"/>
                <w:cs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มีการวางแผนการบริหารงานเพิ่มเติม คือ เพิ่มให้มีงานพัฒนาผู้เรียนเพื่อการศึกษาต่องานและอาชีพ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ACN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cs/>
              </w:rPr>
              <w:t>ระบุค่าร้อยละแต่ละเกณฑ์มาตรฐาน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จัดให้มีโครงสร้างการบริหารงานใช้ชื่องานกลุ่มสาระการเรียนรู้  โดยไม่ได้แยกโครงสร้างการบริหารงานออกเป็น 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8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กลุ่มสาระฯ การเรียนรู้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ATSN</w:t>
            </w: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แผนกวิชาสามัญ-สัมพันธ์ 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แผนกวิชาช่างอุตสาหกรรม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งานวิทยบริการ</w:t>
            </w:r>
          </w:p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งานระบบทวิภาคี</w:t>
            </w:r>
          </w:p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งานวิจัย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พัฒนานวัตกรรมและสิ่งประดิษฐ์</w:t>
            </w:r>
          </w:p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ACL</w:t>
            </w:r>
          </w:p>
          <w:p w:rsidR="007A6881" w:rsidRDefault="007A688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MCP</w:t>
            </w: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7A6881"/>
        </w:tc>
      </w:tr>
      <w:tr w:rsidR="007A688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MCS</w:t>
            </w:r>
          </w:p>
          <w:p w:rsidR="007A6881" w:rsidRDefault="007A6881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>การนำมาตรฐานที่อ้างอิงมาจัดทำเป็นเป้าหมาย ค่าร้อยละความสำเร็จ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</w:rPr>
              <w:t>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rial Unicode MS" w:hAnsi="Arial Unicode MS" w:cs="Angsana New"/>
                <w:cs/>
              </w:rPr>
              <w:t>✓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1" w:rsidRDefault="007A688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881" w:rsidRDefault="00F41061">
            <w:pPr>
              <w:jc w:val="center"/>
            </w:pP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จัดให้มีโครงสร้างการบริหารงานใช้ชื่องานกลุ่มสาระการเรียนรู้  โดยไม่ได้แยกโครงสร้างการบริหารงานออกเป็น  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 xml:space="preserve">8 </w:t>
            </w:r>
            <w:r>
              <w:rPr>
                <w:rFonts w:ascii="Angsana New" w:eastAsia="Angsana New" w:hAnsi="Angsana New" w:cs="Angsana New"/>
                <w:sz w:val="28"/>
                <w:szCs w:val="28"/>
                <w:cs/>
              </w:rPr>
              <w:t xml:space="preserve">กลุ่มสาระฯ การเรียนรู้ </w:t>
            </w:r>
          </w:p>
        </w:tc>
      </w:tr>
    </w:tbl>
    <w:p w:rsidR="007A6881" w:rsidRDefault="007A6881">
      <w:pPr>
        <w:widowControl w:val="0"/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</w:p>
    <w:p w:rsidR="007A6881" w:rsidRDefault="007A6881">
      <w:pPr>
        <w:jc w:val="center"/>
        <w:rPr>
          <w:rFonts w:ascii="Angsana New" w:eastAsia="Angsana New" w:hAnsi="Angsana New" w:cs="Angsana New"/>
          <w:sz w:val="28"/>
          <w:szCs w:val="28"/>
        </w:rPr>
      </w:pPr>
    </w:p>
    <w:p w:rsidR="007A6881" w:rsidRDefault="007A688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</w:p>
    <w:p w:rsidR="007A6881" w:rsidRDefault="007A688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</w:p>
    <w:p w:rsidR="007A6881" w:rsidRDefault="007A688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</w:p>
    <w:p w:rsidR="007A6881" w:rsidRDefault="007A6881">
      <w:pPr>
        <w:jc w:val="center"/>
      </w:pPr>
    </w:p>
    <w:p w:rsidR="007A6881" w:rsidRDefault="00F41061">
      <w:pPr>
        <w:jc w:val="center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สรุปภาพรวมที่เช็คข้อมูลคุ่มือคุณภาพหน่วยงานฝ่าย วิชาการ</w:t>
      </w:r>
    </w:p>
    <w:p w:rsidR="007A6881" w:rsidRDefault="00F41061">
      <w:pPr>
        <w:pStyle w:val="a8"/>
        <w:numPr>
          <w:ilvl w:val="0"/>
          <w:numId w:val="2"/>
        </w:numPr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เหมือนกันจำนวน </w:t>
      </w:r>
      <w:r>
        <w:rPr>
          <w:rFonts w:ascii="Angsana New" w:eastAsia="Angsana New" w:hAnsi="Angsana New" w:cs="Angsana New"/>
          <w:b/>
          <w:bCs/>
          <w:sz w:val="28"/>
          <w:szCs w:val="28"/>
        </w:rPr>
        <w:t xml:space="preserve">15  </w:t>
      </w: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โรงเรียน ได้แก่  </w:t>
      </w:r>
      <w:r>
        <w:rPr>
          <w:rFonts w:ascii="Angsana New" w:eastAsia="Angsana New" w:hAnsi="Angsana New" w:cs="Angsana New"/>
          <w:sz w:val="28"/>
          <w:szCs w:val="28"/>
          <w:u w:val="single"/>
          <w:cs/>
        </w:rPr>
        <w:t xml:space="preserve">โรงเรียน เซนต์คาเบรียล  </w:t>
      </w:r>
      <w:r>
        <w:rPr>
          <w:rFonts w:ascii="Angsana New" w:eastAsia="Angsana New" w:hAnsi="Angsana New" w:cs="Angsana New"/>
          <w:sz w:val="28"/>
          <w:szCs w:val="28"/>
          <w:u w:val="single"/>
          <w:cs/>
        </w:rPr>
        <w:t>โรงเรียนมงฟอร์ตวิทยาลัย แผนกประถม โรงเรียนมงฟอร์ตวิทยาลัย โรงเรียนอัสสัมชัญอุบลราชธานี  โรงเรียนอัสสัมชัญธนบุรี โรงเรียนอัสสัมชัญสมุทรปราการ โรงเรียนอัสสัมชัญศรีราชา โรงเรียนอัสสัมชัญระยอง โรงเรียนอัสสัมชัญนครราชสีมา  โรงเรียนอัสสัมชัญลำปาง โรงเรียนอัสสัมช</w:t>
      </w:r>
      <w:r>
        <w:rPr>
          <w:rFonts w:ascii="Angsana New" w:eastAsia="Angsana New" w:hAnsi="Angsana New" w:cs="Angsana New"/>
          <w:sz w:val="28"/>
          <w:szCs w:val="28"/>
          <w:u w:val="single"/>
          <w:cs/>
        </w:rPr>
        <w:t>ัญหลักสูตรภาษาอังกฤษ โรงเรียนอัสสัมชัญ แผนกประถม โรงเรียนเซนต์หลุยส์ฉะเชิงเทรา โรงเรียนอัสสัมชัญ โรงเรียนอัสสัมชัญเทคนิคนครพนม</w:t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  <w:cs/>
        </w:rPr>
        <w:t xml:space="preserve"> </w:t>
      </w:r>
    </w:p>
    <w:p w:rsidR="007A6881" w:rsidRDefault="00F41061">
      <w:pPr>
        <w:pStyle w:val="a8"/>
        <w:numPr>
          <w:ilvl w:val="0"/>
          <w:numId w:val="2"/>
        </w:numPr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ต่างกันจำนวน        -          โรงเรียน ได้แก่</w:t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  <w:cs/>
        </w:rPr>
        <w:t xml:space="preserve"> </w:t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</w:p>
    <w:p w:rsidR="007A6881" w:rsidRDefault="007A6881">
      <w:pPr>
        <w:pStyle w:val="a8"/>
        <w:rPr>
          <w:rFonts w:ascii="Angsana New" w:eastAsia="Angsana New" w:hAnsi="Angsana New" w:cs="Angsana New"/>
          <w:sz w:val="28"/>
          <w:szCs w:val="28"/>
        </w:rPr>
      </w:pPr>
    </w:p>
    <w:p w:rsidR="007A6881" w:rsidRDefault="00F41061">
      <w:pPr>
        <w:pStyle w:val="a8"/>
        <w:numPr>
          <w:ilvl w:val="0"/>
          <w:numId w:val="2"/>
        </w:numPr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อื่น ๆ ระบุ </w:t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จำนวน</w:t>
      </w:r>
      <w:r>
        <w:rPr>
          <w:rFonts w:ascii="Angsana New" w:eastAsia="Angsana New" w:hAnsi="Angsana New" w:cs="Angsana New"/>
          <w:b/>
          <w:bCs/>
          <w:sz w:val="28"/>
          <w:szCs w:val="28"/>
          <w:u w:val="single"/>
          <w:cs/>
        </w:rPr>
        <w:t xml:space="preserve">                                                </w:t>
      </w: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>โรงเรียน</w:t>
      </w:r>
    </w:p>
    <w:p w:rsidR="007A6881" w:rsidRDefault="00F41061">
      <w:pPr>
        <w:pStyle w:val="a8"/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ได้แก่ </w:t>
      </w:r>
      <w:r>
        <w:rPr>
          <w:rFonts w:ascii="Angsana New" w:eastAsia="Angsana New" w:hAnsi="Angsana New" w:cs="Angsana New"/>
          <w:sz w:val="28"/>
          <w:szCs w:val="28"/>
          <w:cs/>
        </w:rPr>
        <w:t xml:space="preserve">โรงเรียน </w:t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  <w:r>
        <w:rPr>
          <w:rFonts w:ascii="Angsana New" w:eastAsia="Angsana New" w:hAnsi="Angsana New" w:cs="Angsana New"/>
          <w:sz w:val="28"/>
          <w:szCs w:val="28"/>
          <w:u w:val="single"/>
        </w:rPr>
        <w:tab/>
      </w:r>
    </w:p>
    <w:p w:rsidR="007A6881" w:rsidRDefault="007A6881">
      <w:pPr>
        <w:rPr>
          <w:rFonts w:ascii="Angsana New" w:eastAsia="Angsana New" w:hAnsi="Angsana New" w:cs="Angsana New"/>
          <w:b/>
          <w:bCs/>
          <w:sz w:val="28"/>
          <w:szCs w:val="28"/>
        </w:rPr>
      </w:pPr>
    </w:p>
    <w:p w:rsidR="007A6881" w:rsidRDefault="00F41061">
      <w:pPr>
        <w:rPr>
          <w:rFonts w:ascii="Angsana New" w:eastAsia="Angsana New" w:hAnsi="Angsana New" w:cs="Angsana New"/>
          <w:b/>
          <w:bCs/>
          <w:sz w:val="28"/>
          <w:szCs w:val="28"/>
        </w:rPr>
      </w:pPr>
      <w:r>
        <w:rPr>
          <w:rFonts w:ascii="Angsana New" w:eastAsia="Angsana New" w:hAnsi="Angsana New" w:cs="Angsana New"/>
          <w:b/>
          <w:bCs/>
          <w:sz w:val="28"/>
          <w:szCs w:val="28"/>
          <w:cs/>
        </w:rPr>
        <w:t xml:space="preserve">       ข้อสังเกตเพิ่มเติม  ( กรณีค้นพบข้อมูลที่นอกเหนือจากองค์ประกอบในเล่มคู่มือคุณภาพหน่วยงานหรือค้นพบอะไรที่ต่างจากโรงเรียนอื่นๆ ในเครือมูลนิธิฯ)</w:t>
      </w:r>
    </w:p>
    <w:p w:rsidR="007A6881" w:rsidRDefault="00F41061">
      <w:pPr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  <w:cs/>
        </w:rPr>
        <w:t>…………………………………………………</w:t>
      </w:r>
      <w:r>
        <w:rPr>
          <w:rFonts w:ascii="Angsana New" w:eastAsia="Angsana New" w:hAnsi="Angsana New" w:cs="Angsana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881" w:rsidRDefault="007A6881">
      <w:pPr>
        <w:rPr>
          <w:rFonts w:ascii="Angsana New" w:eastAsia="Angsana New" w:hAnsi="Angsana New" w:cs="Angsana New"/>
          <w:sz w:val="28"/>
          <w:szCs w:val="28"/>
        </w:rPr>
      </w:pPr>
    </w:p>
    <w:p w:rsidR="007A6881" w:rsidRDefault="007A6881">
      <w:pPr>
        <w:rPr>
          <w:rFonts w:ascii="Angsana New" w:eastAsia="Angsana New" w:hAnsi="Angsana New" w:cs="Angsana New"/>
          <w:sz w:val="28"/>
          <w:szCs w:val="28"/>
        </w:rPr>
      </w:pPr>
    </w:p>
    <w:p w:rsidR="007A6881" w:rsidRDefault="00F41061">
      <w:pPr>
        <w:jc w:val="center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  <w:cs/>
        </w:rPr>
        <w:t xml:space="preserve">         </w:t>
      </w:r>
      <w:r>
        <w:rPr>
          <w:rFonts w:ascii="Angsana New" w:eastAsia="Angsana New" w:hAnsi="Angsana New" w:cs="Angsana New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A6881" w:rsidRDefault="007A6881">
      <w:pPr>
        <w:jc w:val="center"/>
        <w:rPr>
          <w:rFonts w:ascii="Angsana New" w:eastAsia="Angsana New" w:hAnsi="Angsana New" w:cs="Angsana New"/>
          <w:sz w:val="28"/>
          <w:szCs w:val="28"/>
        </w:rPr>
      </w:pPr>
    </w:p>
    <w:p w:rsidR="007A6881" w:rsidRDefault="00F41061">
      <w:pPr>
        <w:jc w:val="center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  <w:cs/>
        </w:rPr>
        <w:lastRenderedPageBreak/>
        <w:t>ลงชื่อ</w:t>
      </w:r>
      <w:r>
        <w:rPr>
          <w:rFonts w:ascii="Angsana New" w:eastAsia="Angsana New" w:hAnsi="Angsana New" w:cs="Angsana New"/>
          <w:sz w:val="28"/>
          <w:szCs w:val="28"/>
          <w:cs/>
        </w:rPr>
        <w:t xml:space="preserve">                                                  ผู้ตรวจ</w:t>
      </w:r>
      <w:r>
        <w:rPr>
          <w:rFonts w:ascii="Angsana New" w:eastAsia="Angsana New" w:hAnsi="Angsana New" w:cs="Angsana New"/>
          <w:sz w:val="28"/>
          <w:szCs w:val="28"/>
          <w:cs/>
        </w:rPr>
        <w:t>เช็คข้อมูล</w:t>
      </w:r>
    </w:p>
    <w:p w:rsidR="007A6881" w:rsidRDefault="00F41061">
      <w:pPr>
        <w:jc w:val="center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  <w:cs/>
        </w:rPr>
        <w:t>( มิสกัลยาลักษณ์  สุผาครอง)</w:t>
      </w:r>
    </w:p>
    <w:p w:rsidR="007A6881" w:rsidRDefault="00F41061">
      <w:pPr>
        <w:jc w:val="center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</w:rPr>
        <w:tab/>
      </w:r>
      <w:r>
        <w:rPr>
          <w:rFonts w:ascii="Angsana New" w:eastAsia="Angsana New" w:hAnsi="Angsana New" w:cs="Angsana New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ngsana New" w:eastAsia="Angsana New" w:hAnsi="Angsana New" w:cs="Angsana New"/>
          <w:sz w:val="28"/>
          <w:szCs w:val="28"/>
        </w:rPr>
        <w:t>29</w:t>
      </w:r>
      <w:r>
        <w:rPr>
          <w:rFonts w:ascii="Angsana New" w:eastAsia="Angsana New" w:hAnsi="Angsana New" w:cs="Angsana New"/>
          <w:sz w:val="28"/>
          <w:szCs w:val="28"/>
          <w:cs/>
        </w:rPr>
        <w:t>/</w:t>
      </w:r>
      <w:r>
        <w:rPr>
          <w:rFonts w:ascii="Angsana New" w:eastAsia="Angsana New" w:hAnsi="Angsana New" w:cs="Angsana New"/>
          <w:sz w:val="28"/>
          <w:szCs w:val="28"/>
        </w:rPr>
        <w:t>11</w:t>
      </w:r>
      <w:r>
        <w:rPr>
          <w:rFonts w:ascii="Angsana New" w:eastAsia="Angsana New" w:hAnsi="Angsana New" w:cs="Angsana New"/>
          <w:sz w:val="28"/>
          <w:szCs w:val="28"/>
          <w:cs/>
        </w:rPr>
        <w:t>/</w:t>
      </w:r>
      <w:r>
        <w:rPr>
          <w:rFonts w:ascii="Angsana New" w:eastAsia="Angsana New" w:hAnsi="Angsana New" w:cs="Angsana New"/>
          <w:sz w:val="28"/>
          <w:szCs w:val="28"/>
        </w:rPr>
        <w:t>65</w:t>
      </w:r>
    </w:p>
    <w:p w:rsidR="007A6881" w:rsidRDefault="00F41061">
      <w:pPr>
        <w:pStyle w:val="A6"/>
        <w:spacing w:before="0" w:after="160" w:line="259" w:lineRule="auto"/>
        <w:jc w:val="center"/>
        <w:rPr>
          <w:rFonts w:ascii="AngsanaUPC" w:eastAsia="AngsanaUPC" w:hAnsi="AngsanaUPC" w:cs="AngsanaUPC"/>
          <w:color w:val="00AB8E"/>
          <w:sz w:val="32"/>
          <w:szCs w:val="32"/>
        </w:rPr>
      </w:pPr>
      <w:r>
        <w:rPr>
          <w:rFonts w:ascii="Angsana New" w:eastAsia="Angsana New" w:hAnsi="Angsana New" w:cs="Angsana New"/>
          <w:noProof/>
          <w:sz w:val="28"/>
          <w:szCs w:val="28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4630500</wp:posOffset>
            </wp:positionH>
            <wp:positionV relativeFrom="line">
              <wp:posOffset>435570</wp:posOffset>
            </wp:positionV>
            <wp:extent cx="680975" cy="386934"/>
            <wp:effectExtent l="0" t="0" r="0" b="0"/>
            <wp:wrapThrough wrapText="bothSides" distL="57150" distR="57150">
              <wp:wrapPolygon edited="1">
                <wp:start x="0" y="0"/>
                <wp:lineTo x="0" y="21601"/>
                <wp:lineTo x="21602" y="21601"/>
                <wp:lineTo x="21602" y="0"/>
                <wp:lineTo x="0" y="0"/>
              </wp:wrapPolygon>
            </wp:wrapThrough>
            <wp:docPr id="1073741827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3" descr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975" cy="386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A6881" w:rsidRDefault="007A6881">
      <w:pPr>
        <w:pStyle w:val="A6"/>
        <w:spacing w:before="0" w:after="160" w:line="259" w:lineRule="auto"/>
        <w:jc w:val="center"/>
        <w:rPr>
          <w:rFonts w:ascii="AngsanaUPC" w:eastAsia="AngsanaUPC" w:hAnsi="AngsanaUPC" w:cs="AngsanaUPC"/>
          <w:color w:val="00AB8E"/>
          <w:sz w:val="32"/>
          <w:szCs w:val="32"/>
        </w:rPr>
      </w:pPr>
    </w:p>
    <w:p w:rsidR="007A6881" w:rsidRDefault="007A6881">
      <w:pPr>
        <w:pStyle w:val="A6"/>
        <w:spacing w:before="0" w:after="160" w:line="259" w:lineRule="auto"/>
        <w:jc w:val="center"/>
        <w:rPr>
          <w:rFonts w:ascii="AngsanaUPC" w:eastAsia="AngsanaUPC" w:hAnsi="AngsanaUPC" w:cs="AngsanaUPC"/>
          <w:color w:val="00AB8E"/>
          <w:sz w:val="32"/>
          <w:szCs w:val="32"/>
        </w:rPr>
      </w:pPr>
    </w:p>
    <w:p w:rsidR="007A6881" w:rsidRDefault="007A6881">
      <w:pPr>
        <w:pStyle w:val="A6"/>
        <w:spacing w:before="0" w:after="160" w:line="259" w:lineRule="auto"/>
        <w:jc w:val="center"/>
        <w:rPr>
          <w:rFonts w:ascii="AngsanaUPC" w:eastAsia="AngsanaUPC" w:hAnsi="AngsanaUPC" w:cs="AngsanaUPC"/>
          <w:color w:val="00AB8E"/>
          <w:sz w:val="32"/>
          <w:szCs w:val="32"/>
        </w:rPr>
      </w:pPr>
    </w:p>
    <w:p w:rsidR="007A6881" w:rsidRDefault="00F41061">
      <w:pPr>
        <w:pStyle w:val="A6"/>
        <w:spacing w:before="0" w:after="160" w:line="259" w:lineRule="auto"/>
      </w:pPr>
      <w:r>
        <w:rPr>
          <w:rFonts w:ascii="AngsanaUPC" w:eastAsia="AngsanaUPC" w:hAnsi="AngsanaUPC" w:cs="AngsanaUPC"/>
          <w:sz w:val="32"/>
          <w:szCs w:val="32"/>
          <w:cs/>
        </w:rPr>
        <w:t xml:space="preserve">  </w:t>
      </w:r>
    </w:p>
    <w:sectPr w:rsidR="007A6881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61" w:rsidRDefault="00F41061">
      <w:r>
        <w:separator/>
      </w:r>
    </w:p>
  </w:endnote>
  <w:endnote w:type="continuationSeparator" w:id="0">
    <w:p w:rsidR="00F41061" w:rsidRDefault="00F4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nburi">
    <w:altName w:val="Times New Roman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81" w:rsidRDefault="007A6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61" w:rsidRDefault="00F41061">
      <w:r>
        <w:separator/>
      </w:r>
    </w:p>
  </w:footnote>
  <w:footnote w:type="continuationSeparator" w:id="0">
    <w:p w:rsidR="00F41061" w:rsidRDefault="00F4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81" w:rsidRDefault="007A68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946B0"/>
    <w:multiLevelType w:val="hybridMultilevel"/>
    <w:tmpl w:val="8764A80E"/>
    <w:numStyleLink w:val="1"/>
  </w:abstractNum>
  <w:abstractNum w:abstractNumId="1" w15:restartNumberingAfterBreak="0">
    <w:nsid w:val="40891B73"/>
    <w:multiLevelType w:val="hybridMultilevel"/>
    <w:tmpl w:val="8764A80E"/>
    <w:styleLink w:val="1"/>
    <w:lvl w:ilvl="0" w:tplc="B762E254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6007E">
      <w:start w:val="1"/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4BF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E35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8AB78">
      <w:start w:val="1"/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CB5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2AC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44AE84">
      <w:start w:val="1"/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E0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81"/>
    <w:rsid w:val="00501EED"/>
    <w:rsid w:val="007A6881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A16E9-8094-48FE-B693-08E476A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หัวตารางและท้ายตาราง"/>
    <w:pPr>
      <w:tabs>
        <w:tab w:val="right" w:pos="9020"/>
      </w:tabs>
    </w:pPr>
    <w:rPr>
      <w:rFonts w:ascii="Thonburi" w:hAnsi="Thonbu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เนื้อหา A"/>
    <w:rPr>
      <w:rFonts w:ascii="Thonburi" w:hAnsi="Thonburi" w:cs="Arial Unicode MS"/>
      <w:color w:val="000000"/>
      <w:sz w:val="22"/>
      <w:szCs w:val="22"/>
      <w:u w:color="000000"/>
    </w:rPr>
  </w:style>
  <w:style w:type="paragraph" w:customStyle="1" w:styleId="1A">
    <w:name w:val="ลักษณะตาราง 1 A"/>
    <w:rPr>
      <w:rFonts w:ascii="Thonburi" w:hAnsi="Thonburi" w:cs="Arial Unicode MS"/>
      <w:b/>
      <w:bCs/>
      <w:color w:val="000000"/>
      <w:u w:color="000000"/>
    </w:rPr>
  </w:style>
  <w:style w:type="paragraph" w:customStyle="1" w:styleId="A6">
    <w:name w:val="ค่าเริ่มต้น A"/>
    <w:pPr>
      <w:spacing w:before="160" w:line="288" w:lineRule="auto"/>
    </w:pPr>
    <w:rPr>
      <w:rFonts w:ascii="Thonburi" w:hAnsi="Thonburi" w:cs="Arial Unicode MS"/>
      <w:color w:val="000000"/>
      <w:sz w:val="24"/>
      <w:szCs w:val="24"/>
      <w:u w:color="000000"/>
    </w:rPr>
  </w:style>
  <w:style w:type="character" w:customStyle="1" w:styleId="a7">
    <w:name w:val="ลิงก์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00"/>
      <w:u w:val="single" w:color="000000"/>
      <w:lang w:val="en-US"/>
    </w:rPr>
  </w:style>
  <w:style w:type="paragraph" w:styleId="a8">
    <w:name w:val="List Paragraph"/>
    <w:pPr>
      <w:spacing w:after="160" w:line="259" w:lineRule="auto"/>
      <w:ind w:left="720"/>
    </w:pPr>
    <w:rPr>
      <w:rFonts w:ascii="Thonburi" w:hAnsi="Thonburi" w:cs="Arial Unicode MS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20gpYgPBJ368ultrrFljdQ3VAxqITHT/edit?usp=share_link&amp;ouid=108258504664368698286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vf6ZOR02vOJf8tTCTUE0VPQo_K7iNnv/view?usp=share_li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-P4F76lCta-KlD1xe9RmoUeb5UFHUbu/edit?usp=share_link&amp;ouid=108258504664368698286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2022-12-08T09:50:00Z</dcterms:created>
  <dcterms:modified xsi:type="dcterms:W3CDTF">2022-12-08T09:50:00Z</dcterms:modified>
</cp:coreProperties>
</file>